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CBBE" w14:textId="77777777" w:rsidR="00440C8D" w:rsidRPr="00544F12" w:rsidRDefault="00440C8D" w:rsidP="00440C8D">
      <w:pPr>
        <w:shd w:val="clear" w:color="auto" w:fill="FFFFFF"/>
        <w:spacing w:before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Tidsbank for Eldrehjelp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, etter modell fra Sveits:</w:t>
      </w:r>
    </w:p>
    <w:p w14:paraId="6E4128B7" w14:textId="77777777" w:rsidR="00440C8D" w:rsidRPr="000F2DA7" w:rsidRDefault="00440C8D" w:rsidP="00440C8D">
      <w:pPr>
        <w:shd w:val="clear" w:color="auto" w:fill="FFFFFF"/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0"/>
          <w:szCs w:val="10"/>
          <w:lang w:val="nb-NO" w:eastAsia="en-GB"/>
          <w14:ligatures w14:val="none"/>
        </w:rPr>
      </w:pPr>
      <w:r w:rsidRPr="000F2DA7">
        <w:rPr>
          <w:rFonts w:ascii="Aptos" w:eastAsia="Times New Roman" w:hAnsi="Aptos" w:cs="Times New Roman"/>
          <w:color w:val="000000"/>
          <w:kern w:val="0"/>
          <w:sz w:val="10"/>
          <w:szCs w:val="10"/>
          <w:lang w:val="nb-NO" w:eastAsia="en-GB"/>
          <w14:ligatures w14:val="none"/>
        </w:rPr>
        <w:t> </w:t>
      </w:r>
    </w:p>
    <w:p w14:paraId="54C3D583" w14:textId="77777777" w:rsidR="00440C8D" w:rsidRDefault="00440C8D" w:rsidP="00440C8D">
      <w:pPr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hyperlink r:id="rId7" w:history="1">
        <w:r w:rsidRPr="003A0B9D">
          <w:rPr>
            <w:rStyle w:val="Hyperlink"/>
            <w:rFonts w:ascii="Aptos" w:eastAsia="Times New Roman" w:hAnsi="Aptos" w:cs="Times New Roman"/>
            <w:kern w:val="0"/>
            <w:sz w:val="24"/>
            <w:szCs w:val="24"/>
            <w:lang w:val="nb-NO" w:eastAsia="en-GB"/>
            <w14:ligatures w14:val="none"/>
          </w:rPr>
          <w:t>Driv Agder</w:t>
        </w:r>
      </w:hyperlink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har tidligere støttet ideen om </w:t>
      </w: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å bruke infrastrukturen fra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en elev til elev- mentoring</w:t>
      </w: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 app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 til en </w:t>
      </w:r>
      <w:r w:rsidRPr="0081505B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Tidsbank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for eldrehjelp. Relevant her er modellen</w:t>
      </w:r>
      <w:r w:rsidRPr="00F917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 illustrert nedenfor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,-som u</w:t>
      </w:r>
      <w:r w:rsidRPr="00F26198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ndertegnede nå lodder interessen for</w:t>
      </w:r>
      <w:r w:rsidRPr="00F917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. </w:t>
      </w:r>
    </w:p>
    <w:p w14:paraId="77E2E51E" w14:textId="77777777" w:rsidR="00440C8D" w:rsidRDefault="00440C8D" w:rsidP="00440C8D">
      <w:pPr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9"/>
      </w:tblGrid>
      <w:tr w:rsidR="00440C8D" w:rsidRPr="00A27F41" w14:paraId="09B74762" w14:textId="77777777" w:rsidTr="00876CDC">
        <w:trPr>
          <w:trHeight w:val="2297"/>
        </w:trPr>
        <w:tc>
          <w:tcPr>
            <w:tcW w:w="9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AAA1" w14:textId="77777777" w:rsidR="00440C8D" w:rsidRPr="00544F12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</w:pPr>
            <w:r w:rsidRPr="00544F12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  <w:t> </w:t>
            </w:r>
          </w:p>
          <w:p w14:paraId="07AAD0B6" w14:textId="77777777" w:rsidR="00440C8D" w:rsidRPr="00544F12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</w:pPr>
            <w:r w:rsidRPr="00544F12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  <w:t>Hva er en tidsbank?</w:t>
            </w:r>
          </w:p>
          <w:p w14:paraId="3F159103" w14:textId="77777777" w:rsidR="00440C8D" w:rsidRPr="000F2DA7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val="nb-NO" w:eastAsia="en-GB"/>
                <w14:ligatures w14:val="none"/>
              </w:rPr>
            </w:pPr>
            <w:r w:rsidRPr="000F2DA7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val="nb-NO" w:eastAsia="en-GB"/>
                <w14:ligatures w14:val="none"/>
              </w:rPr>
              <w:t> </w:t>
            </w:r>
          </w:p>
          <w:p w14:paraId="3968F117" w14:textId="77777777" w:rsidR="00440C8D" w:rsidRPr="00544F12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</w:pPr>
            <w:r w:rsidRPr="00544F12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  <w:t>Tenk deg en vanlig bank. Du jobber og tjener penger som du setter inn på din personlige konto for å spare. En ‘tidsbank’ er lik, bortsett fra at penger er byttet ut med timer. Altså: for hver time du jobber, tjener du 1 time som du setter inn og sparer på din tidskonto. Dette er timer som du senere selv kan bruke som betaling for tjenester fra andre. </w:t>
            </w:r>
          </w:p>
          <w:p w14:paraId="09F5C066" w14:textId="77777777" w:rsidR="00440C8D" w:rsidRPr="00544F12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val="nb-NO" w:eastAsia="en-GB"/>
                <w14:ligatures w14:val="none"/>
              </w:rPr>
            </w:pPr>
          </w:p>
          <w:p w14:paraId="33E2AFA5" w14:textId="77777777" w:rsidR="00440C8D" w:rsidRDefault="00440C8D" w:rsidP="00876CDC">
            <w:pPr>
              <w:spacing w:before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2E28749" wp14:editId="2BF1C22F">
                  <wp:extent cx="4132249" cy="1654041"/>
                  <wp:effectExtent l="0" t="0" r="0" b="0"/>
                  <wp:docPr id="1491410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738" cy="172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1553" w14:textId="77777777" w:rsidR="00440C8D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33D676" w14:textId="77777777" w:rsidR="00440C8D" w:rsidRPr="00A27F41" w:rsidRDefault="00440C8D" w:rsidP="00876CDC">
            <w:pPr>
              <w:spacing w:before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73A3E43" w14:textId="77777777" w:rsidR="00440C8D" w:rsidRDefault="00440C8D" w:rsidP="00440C8D">
      <w:pPr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</w:p>
    <w:p w14:paraId="70736B00" w14:textId="77777777" w:rsidR="00440C8D" w:rsidRDefault="00440C8D" w:rsidP="00440C8D">
      <w:pPr>
        <w:spacing w:before="0" w:line="240" w:lineRule="auto"/>
        <w:ind w:right="-283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Dette innebærer gjerne et </w:t>
      </w: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samarbeid mellom kommune og frivillighetsapperatet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 xml:space="preserve"> (og/eller godt organiserte nabolags/velforeninger) </w:t>
      </w: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etter en modell benyttet bl.a. i Sveits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:</w:t>
      </w:r>
    </w:p>
    <w:p w14:paraId="16DCD6F7" w14:textId="77777777" w:rsidR="00440C8D" w:rsidRPr="0055628E" w:rsidRDefault="00440C8D" w:rsidP="00440C8D">
      <w:pPr>
        <w:spacing w:before="0" w:line="240" w:lineRule="auto"/>
        <w:ind w:right="-283"/>
        <w:textAlignment w:val="baseline"/>
        <w:rPr>
          <w:rFonts w:ascii="Aptos" w:eastAsia="Times New Roman" w:hAnsi="Aptos" w:cs="Times New Roman"/>
          <w:color w:val="000000"/>
          <w:kern w:val="0"/>
          <w:sz w:val="10"/>
          <w:szCs w:val="10"/>
          <w:lang w:val="nb-NO" w:eastAsia="en-GB"/>
          <w14:ligatures w14:val="none"/>
        </w:rPr>
      </w:pPr>
    </w:p>
    <w:p w14:paraId="312F6DDD" w14:textId="77777777" w:rsidR="00440C8D" w:rsidRPr="00544F12" w:rsidRDefault="00440C8D" w:rsidP="00440C8D">
      <w:pPr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r w:rsidRPr="00BF3FCF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Byen</w:t>
      </w: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 </w:t>
      </w: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St. Gallen i Sveits har i et tiår brukt en ‘Tidsbank-modell’ som -et supplement til- og  -</w:t>
      </w:r>
      <w:r w:rsidRPr="00544F12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avlastning av</w:t>
      </w: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- helsevesenet, spesielt mht. eldrehjelp. I Japan, som systemet stammer fra, blir de økonomiske bespar</w:t>
      </w:r>
      <w:r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elsene</w:t>
      </w: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 xml:space="preserve"> ansett som betydelige, mens administrasjonen av systemet</w:t>
      </w:r>
      <w:r w:rsidRPr="00544F12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 </w:t>
      </w: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 xml:space="preserve">i Sveits sies å finansiere seg selv allerede ved at </w:t>
      </w:r>
      <w:r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«</w:t>
      </w: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5 eldre kommer på sykehjem ett år senere</w:t>
      </w:r>
      <w:r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»</w:t>
      </w: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>.</w:t>
      </w:r>
    </w:p>
    <w:p w14:paraId="0396909B" w14:textId="77777777" w:rsidR="00440C8D" w:rsidRPr="009B3F9C" w:rsidRDefault="00440C8D" w:rsidP="00440C8D">
      <w:pPr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10"/>
          <w:szCs w:val="10"/>
          <w:lang w:val="nb-NO" w:eastAsia="en-GB"/>
          <w14:ligatures w14:val="none"/>
        </w:rPr>
      </w:pPr>
      <w:r w:rsidRPr="009B3F9C">
        <w:rPr>
          <w:rFonts w:ascii="Aptos" w:eastAsia="Times New Roman" w:hAnsi="Aptos" w:cs="Times New Roman"/>
          <w:color w:val="000000"/>
          <w:kern w:val="0"/>
          <w:sz w:val="10"/>
          <w:szCs w:val="10"/>
          <w:lang w:val="nb-NO" w:eastAsia="en-GB"/>
          <w14:ligatures w14:val="none"/>
        </w:rPr>
        <w:t> </w:t>
      </w:r>
    </w:p>
    <w:p w14:paraId="42362B34" w14:textId="77777777" w:rsidR="00440C8D" w:rsidRPr="00BB27A3" w:rsidRDefault="00440C8D" w:rsidP="00440C8D">
      <w:pPr>
        <w:spacing w:before="0" w:line="240" w:lineRule="auto"/>
        <w:ind w:right="-141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r w:rsidRPr="00544F12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val="nb-NO" w:eastAsia="en-GB"/>
          <w14:ligatures w14:val="none"/>
        </w:rPr>
        <w:t xml:space="preserve">St. Gallen har valgt å å mobilisere godt voksne (50+) for eldrehjelp. Dette er frivillige, men som samtidig opparbeider kreditt som kan brukes for å dekke opp egne omsorgsbehov senere i livet. </w:t>
      </w:r>
    </w:p>
    <w:p w14:paraId="332439C4" w14:textId="77777777" w:rsidR="00440C8D" w:rsidRPr="00BB27A3" w:rsidRDefault="00440C8D" w:rsidP="00440C8D">
      <w:pPr>
        <w:shd w:val="clear" w:color="auto" w:fill="FFFFFF"/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r w:rsidRPr="00BB27A3"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  </w:t>
      </w:r>
    </w:p>
    <w:p w14:paraId="0FC8DFCF" w14:textId="2B9E3CE3" w:rsidR="00440C8D" w:rsidRPr="00BB27A3" w:rsidRDefault="00440C8D" w:rsidP="00440C8D">
      <w:pPr>
        <w:shd w:val="clear" w:color="auto" w:fill="FFFFFF"/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  <w:t>Nedenfor gis en oppsummering som kan tjene til å fremme politisk debatt om temaet.</w:t>
      </w:r>
    </w:p>
    <w:p w14:paraId="283EC63E" w14:textId="77777777" w:rsidR="00440C8D" w:rsidRPr="00BB27A3" w:rsidRDefault="00440C8D" w:rsidP="00440C8D">
      <w:pPr>
        <w:shd w:val="clear" w:color="auto" w:fill="FFFFFF"/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</w:p>
    <w:p w14:paraId="3EA53A92" w14:textId="77777777" w:rsidR="00440C8D" w:rsidRPr="00614409" w:rsidRDefault="00440C8D" w:rsidP="00440C8D">
      <w:pPr>
        <w:pStyle w:val="NoSpacing"/>
        <w:numPr>
          <w:ilvl w:val="0"/>
          <w:numId w:val="1"/>
        </w:numPr>
        <w:rPr>
          <w:u w:val="single"/>
        </w:rPr>
      </w:pPr>
      <w:r w:rsidRPr="00802D6C">
        <w:rPr>
          <w:u w:val="single"/>
        </w:rPr>
        <w:t xml:space="preserve">Den </w:t>
      </w:r>
      <w:proofErr w:type="spellStart"/>
      <w:r w:rsidRPr="00802D6C">
        <w:rPr>
          <w:u w:val="single"/>
        </w:rPr>
        <w:t>demografiske</w:t>
      </w:r>
      <w:proofErr w:type="spellEnd"/>
      <w:r w:rsidRPr="00802D6C">
        <w:rPr>
          <w:u w:val="single"/>
        </w:rPr>
        <w:t xml:space="preserve"> </w:t>
      </w:r>
      <w:proofErr w:type="spellStart"/>
      <w:r w:rsidRPr="00802D6C">
        <w:rPr>
          <w:u w:val="single"/>
        </w:rPr>
        <w:t>virkeligheten</w:t>
      </w:r>
      <w:proofErr w:type="spellEnd"/>
    </w:p>
    <w:p w14:paraId="63C4C0F6" w14:textId="77777777" w:rsidR="00440C8D" w:rsidRPr="00802D6C" w:rsidRDefault="00440C8D" w:rsidP="00440C8D">
      <w:pPr>
        <w:pStyle w:val="NoSpacing"/>
        <w:ind w:left="360"/>
        <w:rPr>
          <w:i/>
          <w:iCs/>
          <w:sz w:val="10"/>
          <w:szCs w:val="10"/>
        </w:rPr>
      </w:pPr>
    </w:p>
    <w:p w14:paraId="0E2B99FA" w14:textId="77777777" w:rsidR="00440C8D" w:rsidRPr="00506BE7" w:rsidRDefault="00440C8D" w:rsidP="00440C8D">
      <w:pPr>
        <w:pStyle w:val="NoSpacing"/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i/>
          <w:iCs/>
          <w:lang w:val="nb-NO"/>
        </w:rPr>
      </w:pPr>
      <w:r w:rsidRPr="00506BE7">
        <w:rPr>
          <w:i/>
          <w:iCs/>
          <w:lang w:val="nb-NO"/>
        </w:rPr>
        <w:t>Kritisk milepæl: I 2031 vil Norge ha flere personer over 65 år enn unge (0–19 år).</w:t>
      </w:r>
    </w:p>
    <w:p w14:paraId="39BEC1EB" w14:textId="77777777" w:rsidR="00440C8D" w:rsidRPr="00506BE7" w:rsidRDefault="00440C8D" w:rsidP="00440C8D">
      <w:pPr>
        <w:pStyle w:val="NoSpacing"/>
        <w:ind w:left="1080"/>
        <w:rPr>
          <w:i/>
          <w:iCs/>
          <w:sz w:val="10"/>
          <w:szCs w:val="10"/>
          <w:lang w:val="nb-NO"/>
        </w:rPr>
      </w:pPr>
    </w:p>
    <w:p w14:paraId="662233C1" w14:textId="77777777" w:rsidR="00440C8D" w:rsidRPr="00506BE7" w:rsidRDefault="00440C8D" w:rsidP="00440C8D">
      <w:pPr>
        <w:pStyle w:val="NoSpacing"/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i/>
          <w:iCs/>
          <w:lang w:val="nb-NO"/>
        </w:rPr>
      </w:pPr>
      <w:r w:rsidRPr="00506BE7">
        <w:rPr>
          <w:i/>
          <w:iCs/>
          <w:lang w:val="nb-NO"/>
        </w:rPr>
        <w:t>Arbeidskraftutfordring: En av tre i arbeidsfør alder må jobbe innen helse fram mot 2060 – en umulig ligning for de fleste kommuner.</w:t>
      </w:r>
    </w:p>
    <w:p w14:paraId="492855B8" w14:textId="77777777" w:rsidR="00440C8D" w:rsidRPr="00506BE7" w:rsidRDefault="00440C8D" w:rsidP="00440C8D">
      <w:pPr>
        <w:pStyle w:val="NoSpacing"/>
        <w:ind w:left="1080"/>
        <w:rPr>
          <w:i/>
          <w:iCs/>
          <w:sz w:val="10"/>
          <w:szCs w:val="10"/>
          <w:lang w:val="nb-NO"/>
        </w:rPr>
      </w:pPr>
    </w:p>
    <w:p w14:paraId="2B6D4F2F" w14:textId="77777777" w:rsidR="00440C8D" w:rsidRDefault="00440C8D" w:rsidP="00440C8D">
      <w:pPr>
        <w:pStyle w:val="NoSpacing"/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i/>
          <w:iCs/>
          <w:lang w:val="nb-NO"/>
        </w:rPr>
      </w:pPr>
      <w:r w:rsidRPr="00506BE7">
        <w:rPr>
          <w:i/>
          <w:iCs/>
          <w:lang w:val="nb-NO"/>
        </w:rPr>
        <w:t xml:space="preserve">Dette er ikke </w:t>
      </w:r>
      <w:r>
        <w:rPr>
          <w:i/>
          <w:iCs/>
          <w:lang w:val="nb-NO"/>
        </w:rPr>
        <w:t xml:space="preserve">først og fremst </w:t>
      </w:r>
      <w:r w:rsidRPr="00506BE7">
        <w:rPr>
          <w:i/>
          <w:iCs/>
          <w:lang w:val="nb-NO"/>
        </w:rPr>
        <w:t>et politisk valg, men en demografisk realitet som ingen offentlig pengebruk kan løse alene.</w:t>
      </w:r>
    </w:p>
    <w:p w14:paraId="1B8381A9" w14:textId="77777777" w:rsidR="00440C8D" w:rsidRDefault="00440C8D" w:rsidP="00440C8D">
      <w:pPr>
        <w:pStyle w:val="NoSpacing"/>
        <w:rPr>
          <w:sz w:val="10"/>
          <w:szCs w:val="10"/>
          <w:lang w:val="nb-NO"/>
        </w:rPr>
      </w:pPr>
    </w:p>
    <w:p w14:paraId="1F120417" w14:textId="77777777" w:rsidR="00440C8D" w:rsidRPr="00506BE7" w:rsidRDefault="00440C8D" w:rsidP="00440C8D">
      <w:pPr>
        <w:pStyle w:val="NoSpacing"/>
        <w:rPr>
          <w:sz w:val="20"/>
          <w:lang w:val="nb-NO"/>
        </w:rPr>
      </w:pPr>
    </w:p>
    <w:p w14:paraId="3A889E25" w14:textId="6DF80F0F" w:rsidR="00440C8D" w:rsidRPr="006B0DB9" w:rsidRDefault="00440C8D" w:rsidP="00440C8D">
      <w:pPr>
        <w:pStyle w:val="NoSpacing"/>
        <w:numPr>
          <w:ilvl w:val="0"/>
          <w:numId w:val="1"/>
        </w:numPr>
        <w:rPr>
          <w:lang w:val="nb-NO"/>
        </w:rPr>
      </w:pPr>
      <w:r w:rsidRPr="006B0DB9">
        <w:rPr>
          <w:u w:val="single"/>
          <w:lang w:val="nb-NO"/>
        </w:rPr>
        <w:t>Det Virkelige Valget: Bærekraftig Omsorg vs. Nedbygging</w:t>
      </w:r>
      <w:r w:rsidR="006B0DB9" w:rsidRPr="00A3474F">
        <w:rPr>
          <w:lang w:val="nb-NO"/>
        </w:rPr>
        <w:t xml:space="preserve">. </w:t>
      </w:r>
      <w:r w:rsidRPr="006B0DB9">
        <w:rPr>
          <w:lang w:val="nb-NO"/>
        </w:rPr>
        <w:t xml:space="preserve">Uten borgerdeltakelse står vi uunngåelig overfor: </w:t>
      </w:r>
    </w:p>
    <w:p w14:paraId="2627D16D" w14:textId="77777777" w:rsidR="00440C8D" w:rsidRPr="00506BE7" w:rsidRDefault="00440C8D" w:rsidP="00440C8D">
      <w:pPr>
        <w:pStyle w:val="NoSpacing"/>
        <w:ind w:left="720"/>
        <w:rPr>
          <w:sz w:val="10"/>
          <w:szCs w:val="10"/>
          <w:lang w:val="nb-NO"/>
        </w:rPr>
      </w:pPr>
    </w:p>
    <w:p w14:paraId="609A1039" w14:textId="77777777" w:rsidR="00440C8D" w:rsidRDefault="00440C8D" w:rsidP="00440C8D">
      <w:pPr>
        <w:pStyle w:val="NoSpacing"/>
        <w:numPr>
          <w:ilvl w:val="0"/>
          <w:numId w:val="3"/>
        </w:numPr>
      </w:pPr>
      <w:proofErr w:type="spellStart"/>
      <w:r w:rsidRPr="001A6FBA">
        <w:t>behovsprøving</w:t>
      </w:r>
      <w:proofErr w:type="spellEnd"/>
      <w:r w:rsidRPr="001A6FBA">
        <w:t xml:space="preserve">, </w:t>
      </w:r>
      <w:proofErr w:type="spellStart"/>
      <w:r w:rsidRPr="001A6FBA">
        <w:t>eller</w:t>
      </w:r>
      <w:proofErr w:type="spellEnd"/>
      <w:r w:rsidRPr="001A6FBA">
        <w:t xml:space="preserve"> </w:t>
      </w:r>
    </w:p>
    <w:p w14:paraId="116D3B71" w14:textId="77777777" w:rsidR="00440C8D" w:rsidRDefault="00440C8D" w:rsidP="00440C8D">
      <w:pPr>
        <w:pStyle w:val="NoSpacing"/>
        <w:numPr>
          <w:ilvl w:val="0"/>
          <w:numId w:val="3"/>
        </w:numPr>
      </w:pPr>
      <w:proofErr w:type="spellStart"/>
      <w:r w:rsidRPr="001A6FBA">
        <w:t>servicerasjonering</w:t>
      </w:r>
      <w:proofErr w:type="spellEnd"/>
      <w:r w:rsidRPr="001A6FBA">
        <w:t xml:space="preserve"> </w:t>
      </w:r>
    </w:p>
    <w:p w14:paraId="268E24A3" w14:textId="77777777" w:rsidR="00440C8D" w:rsidRPr="00686C83" w:rsidRDefault="00440C8D" w:rsidP="00440C8D">
      <w:pPr>
        <w:pStyle w:val="NoSpacing"/>
        <w:rPr>
          <w:sz w:val="10"/>
          <w:szCs w:val="10"/>
        </w:rPr>
      </w:pPr>
    </w:p>
    <w:p w14:paraId="362038BD" w14:textId="77777777" w:rsidR="00440C8D" w:rsidRPr="00506BE7" w:rsidRDefault="00440C8D" w:rsidP="00440C8D">
      <w:pPr>
        <w:pStyle w:val="NoSpacing"/>
        <w:ind w:left="720"/>
        <w:rPr>
          <w:lang w:val="nb-NO"/>
        </w:rPr>
      </w:pPr>
      <w:r w:rsidRPr="00506BE7">
        <w:rPr>
          <w:lang w:val="nb-NO"/>
        </w:rPr>
        <w:t>Tidsbanken bevarer universell tilgang til omsorg samtidig som den sikrer system-bærekraft.</w:t>
      </w:r>
    </w:p>
    <w:p w14:paraId="022065BF" w14:textId="42939229" w:rsidR="00440C8D" w:rsidRPr="00E36377" w:rsidRDefault="00440C8D" w:rsidP="00440C8D">
      <w:pPr>
        <w:pStyle w:val="NoSpacing"/>
        <w:numPr>
          <w:ilvl w:val="0"/>
          <w:numId w:val="1"/>
        </w:numPr>
        <w:rPr>
          <w:lang w:val="nb-NO"/>
        </w:rPr>
      </w:pPr>
      <w:proofErr w:type="spellStart"/>
      <w:r w:rsidRPr="00E36377">
        <w:rPr>
          <w:u w:val="single"/>
        </w:rPr>
        <w:lastRenderedPageBreak/>
        <w:t>Utvikling</w:t>
      </w:r>
      <w:proofErr w:type="spellEnd"/>
      <w:r w:rsidRPr="00E36377">
        <w:rPr>
          <w:u w:val="single"/>
        </w:rPr>
        <w:t xml:space="preserve">, Ikke </w:t>
      </w:r>
      <w:proofErr w:type="spellStart"/>
      <w:r w:rsidRPr="00E36377">
        <w:rPr>
          <w:u w:val="single"/>
        </w:rPr>
        <w:t>Nedbygging</w:t>
      </w:r>
      <w:proofErr w:type="spellEnd"/>
      <w:r w:rsidRPr="00E36377">
        <w:rPr>
          <w:u w:val="single"/>
        </w:rPr>
        <w:t xml:space="preserve"> </w:t>
      </w:r>
      <w:proofErr w:type="spellStart"/>
      <w:r w:rsidRPr="00E36377">
        <w:rPr>
          <w:u w:val="single"/>
        </w:rPr>
        <w:t>av</w:t>
      </w:r>
      <w:proofErr w:type="spellEnd"/>
      <w:r w:rsidRPr="00E36377">
        <w:rPr>
          <w:u w:val="single"/>
        </w:rPr>
        <w:t xml:space="preserve"> </w:t>
      </w:r>
      <w:proofErr w:type="spellStart"/>
      <w:r w:rsidRPr="00E36377">
        <w:rPr>
          <w:u w:val="single"/>
        </w:rPr>
        <w:t>Velferdsstaten</w:t>
      </w:r>
      <w:proofErr w:type="spellEnd"/>
      <w:r w:rsidR="000F2DA7" w:rsidRPr="00D371CC">
        <w:t xml:space="preserve">. </w:t>
      </w:r>
      <w:r w:rsidRPr="00E36377">
        <w:rPr>
          <w:lang w:val="nb-NO"/>
        </w:rPr>
        <w:t>Dette handler ikke om å bygge ned velferdsstaten, men om å utvikle den. Profesjonelle tjenester opprettholdes for spesialiserte medisinske behov. Tidsbanken håndterer sosial støtte og oppgaver som ikke krever faglig medisinsk ekspertise.</w:t>
      </w:r>
      <w:r w:rsidR="003D1BC1" w:rsidRPr="00E36377">
        <w:rPr>
          <w:lang w:val="nb-NO"/>
        </w:rPr>
        <w:t xml:space="preserve"> </w:t>
      </w:r>
      <w:r w:rsidRPr="00E36377">
        <w:rPr>
          <w:lang w:val="nb-NO"/>
        </w:rPr>
        <w:t xml:space="preserve">Staten opprettholder tilsyn og kvalitetsstandarder samtidig som omsorgskapasiteten utvides. Staten sørger for forsikringsordning for frivillige (som i Sør-Korea) og garanti for kompensasjon dersom systemet skulle svikte (som i Sveits). </w:t>
      </w:r>
    </w:p>
    <w:p w14:paraId="2FEC02AA" w14:textId="77777777" w:rsidR="00440C8D" w:rsidRPr="00506BE7" w:rsidRDefault="00440C8D" w:rsidP="00440C8D">
      <w:pPr>
        <w:pStyle w:val="NoSpacing"/>
        <w:ind w:left="426"/>
        <w:rPr>
          <w:rFonts w:eastAsia="Times New Roman"/>
          <w:sz w:val="26"/>
          <w:szCs w:val="26"/>
          <w:u w:val="single"/>
          <w:lang w:val="nb-NO"/>
        </w:rPr>
      </w:pPr>
    </w:p>
    <w:p w14:paraId="02A26BF9" w14:textId="6034A7B2" w:rsidR="00440C8D" w:rsidRPr="00D371CC" w:rsidRDefault="00440C8D" w:rsidP="00440C8D">
      <w:pPr>
        <w:pStyle w:val="NoSpacing"/>
        <w:numPr>
          <w:ilvl w:val="0"/>
          <w:numId w:val="1"/>
        </w:numPr>
        <w:rPr>
          <w:lang w:val="nb-NO"/>
        </w:rPr>
      </w:pPr>
      <w:proofErr w:type="spellStart"/>
      <w:r w:rsidRPr="00D371CC">
        <w:rPr>
          <w:u w:val="single"/>
        </w:rPr>
        <w:t>Verdsettelse</w:t>
      </w:r>
      <w:proofErr w:type="spellEnd"/>
      <w:r w:rsidRPr="00D371CC">
        <w:rPr>
          <w:u w:val="single"/>
        </w:rPr>
        <w:t xml:space="preserve">, Ikke </w:t>
      </w:r>
      <w:proofErr w:type="spellStart"/>
      <w:r w:rsidRPr="00D371CC">
        <w:rPr>
          <w:u w:val="single"/>
        </w:rPr>
        <w:t>Utnyttelse</w:t>
      </w:r>
      <w:proofErr w:type="spellEnd"/>
      <w:r w:rsidR="00D371CC" w:rsidRPr="00D371CC">
        <w:t xml:space="preserve">. </w:t>
      </w:r>
      <w:r w:rsidRPr="00D371CC">
        <w:rPr>
          <w:lang w:val="nb-NO"/>
        </w:rPr>
        <w:t xml:space="preserve">Frivillige tjener opp konkrete rettigheter til fremtidig omsorg. Den livslange kompetansen til ‘godt voksne frivillige’ går ikke til spille, men fortsetter å komme samfunnet til gode.  </w:t>
      </w:r>
    </w:p>
    <w:p w14:paraId="2C14E7A8" w14:textId="77777777" w:rsidR="00440C8D" w:rsidRPr="00506BE7" w:rsidRDefault="00440C8D" w:rsidP="00440C8D">
      <w:pPr>
        <w:pStyle w:val="NoSpacing"/>
        <w:ind w:left="426"/>
        <w:rPr>
          <w:rFonts w:eastAsia="Times New Roman"/>
          <w:sz w:val="24"/>
          <w:szCs w:val="24"/>
          <w:lang w:val="nb-NO"/>
          <w14:ligatures w14:val="none"/>
        </w:rPr>
      </w:pPr>
      <w:r w:rsidRPr="00506BE7">
        <w:rPr>
          <w:rFonts w:eastAsia="Times New Roman"/>
          <w:sz w:val="24"/>
          <w:szCs w:val="24"/>
          <w:lang w:val="nb-NO"/>
          <w14:ligatures w14:val="none"/>
        </w:rPr>
        <w:t xml:space="preserve"> </w:t>
      </w:r>
    </w:p>
    <w:p w14:paraId="16179758" w14:textId="6D839807" w:rsidR="00440C8D" w:rsidRPr="00A956AF" w:rsidRDefault="00440C8D" w:rsidP="00440C8D">
      <w:pPr>
        <w:pStyle w:val="NoSpacing"/>
        <w:numPr>
          <w:ilvl w:val="0"/>
          <w:numId w:val="1"/>
        </w:numPr>
      </w:pPr>
      <w:proofErr w:type="spellStart"/>
      <w:r w:rsidRPr="00D371CC">
        <w:rPr>
          <w:u w:val="single"/>
        </w:rPr>
        <w:t>Styrking</w:t>
      </w:r>
      <w:proofErr w:type="spellEnd"/>
      <w:r w:rsidRPr="00D371CC">
        <w:rPr>
          <w:u w:val="single"/>
        </w:rPr>
        <w:t xml:space="preserve"> </w:t>
      </w:r>
      <w:proofErr w:type="spellStart"/>
      <w:r w:rsidRPr="00D371CC">
        <w:rPr>
          <w:u w:val="single"/>
        </w:rPr>
        <w:t>av</w:t>
      </w:r>
      <w:proofErr w:type="spellEnd"/>
      <w:r w:rsidRPr="00D371CC">
        <w:rPr>
          <w:u w:val="single"/>
        </w:rPr>
        <w:t xml:space="preserve"> </w:t>
      </w:r>
      <w:proofErr w:type="spellStart"/>
      <w:r w:rsidRPr="00D371CC">
        <w:rPr>
          <w:u w:val="single"/>
        </w:rPr>
        <w:t>Demokrati</w:t>
      </w:r>
      <w:proofErr w:type="spellEnd"/>
      <w:r w:rsidRPr="00D371CC">
        <w:rPr>
          <w:u w:val="single"/>
        </w:rPr>
        <w:t xml:space="preserve"> </w:t>
      </w:r>
      <w:proofErr w:type="spellStart"/>
      <w:r w:rsidRPr="00D371CC">
        <w:rPr>
          <w:u w:val="single"/>
        </w:rPr>
        <w:t>og</w:t>
      </w:r>
      <w:proofErr w:type="spellEnd"/>
      <w:r w:rsidRPr="00D371CC">
        <w:rPr>
          <w:u w:val="single"/>
        </w:rPr>
        <w:t xml:space="preserve"> </w:t>
      </w:r>
      <w:proofErr w:type="spellStart"/>
      <w:r w:rsidRPr="00D371CC">
        <w:rPr>
          <w:u w:val="single"/>
        </w:rPr>
        <w:t>Lokalsamfunn</w:t>
      </w:r>
      <w:proofErr w:type="spellEnd"/>
      <w:r w:rsidR="00D371CC" w:rsidRPr="00D371CC">
        <w:t xml:space="preserve">. </w:t>
      </w:r>
      <w:r w:rsidRPr="00D371CC">
        <w:rPr>
          <w:lang w:val="nb-NO"/>
        </w:rPr>
        <w:t>Aktivt medborgerskap: Tidsbanken gjør borgere til aktive bidragsytere til velferd for sitt lokalsamfunn. Det s</w:t>
      </w:r>
      <w:proofErr w:type="spellStart"/>
      <w:r w:rsidRPr="00A956AF">
        <w:t>kaper</w:t>
      </w:r>
      <w:proofErr w:type="spellEnd"/>
      <w:r w:rsidRPr="00A956AF">
        <w:t xml:space="preserve"> </w:t>
      </w:r>
      <w:proofErr w:type="spellStart"/>
      <w:r w:rsidRPr="00A956AF">
        <w:t>solidaritet</w:t>
      </w:r>
      <w:proofErr w:type="spellEnd"/>
      <w:r w:rsidRPr="00A956AF">
        <w:t xml:space="preserve"> </w:t>
      </w:r>
      <w:proofErr w:type="spellStart"/>
      <w:r w:rsidRPr="00A956AF">
        <w:t>mellom</w:t>
      </w:r>
      <w:proofErr w:type="spellEnd"/>
      <w:r w:rsidRPr="00A956AF">
        <w:t xml:space="preserve"> </w:t>
      </w:r>
      <w:proofErr w:type="spellStart"/>
      <w:r w:rsidRPr="00A956AF">
        <w:t>generasjoner</w:t>
      </w:r>
      <w:proofErr w:type="spellEnd"/>
      <w:r w:rsidRPr="00A956AF">
        <w:t xml:space="preserve"> </w:t>
      </w:r>
      <w:proofErr w:type="spellStart"/>
      <w:r w:rsidRPr="00A956AF">
        <w:t>og</w:t>
      </w:r>
      <w:proofErr w:type="spellEnd"/>
      <w:r w:rsidRPr="00A956AF">
        <w:t xml:space="preserve"> </w:t>
      </w:r>
      <w:proofErr w:type="spellStart"/>
      <w:r w:rsidRPr="00A956AF">
        <w:t>sosialt</w:t>
      </w:r>
      <w:proofErr w:type="spellEnd"/>
      <w:r w:rsidRPr="00A956AF">
        <w:t xml:space="preserve"> </w:t>
      </w:r>
      <w:proofErr w:type="spellStart"/>
      <w:r w:rsidRPr="00A956AF">
        <w:t>samhold</w:t>
      </w:r>
      <w:proofErr w:type="spellEnd"/>
      <w:r w:rsidRPr="00A956AF">
        <w:t>.</w:t>
      </w:r>
    </w:p>
    <w:p w14:paraId="2215B9A7" w14:textId="77777777" w:rsidR="00440C8D" w:rsidRPr="0041082C" w:rsidRDefault="00440C8D" w:rsidP="00440C8D">
      <w:pPr>
        <w:pStyle w:val="NoSpacing"/>
        <w:ind w:left="426" w:firstLine="1860"/>
        <w:rPr>
          <w:rFonts w:eastAsia="Times New Roman"/>
          <w:sz w:val="24"/>
          <w:szCs w:val="24"/>
          <w14:ligatures w14:val="none"/>
        </w:rPr>
      </w:pPr>
    </w:p>
    <w:p w14:paraId="7A44F6D9" w14:textId="3C22CDAC" w:rsidR="00440C8D" w:rsidRPr="00E561E8" w:rsidRDefault="00440C8D" w:rsidP="00440C8D">
      <w:pPr>
        <w:pStyle w:val="NoSpacing"/>
        <w:numPr>
          <w:ilvl w:val="0"/>
          <w:numId w:val="1"/>
        </w:numPr>
        <w:ind w:right="-141"/>
        <w:rPr>
          <w:lang w:val="nb-NO"/>
        </w:rPr>
      </w:pPr>
      <w:r w:rsidRPr="00E561E8">
        <w:rPr>
          <w:u w:val="single"/>
        </w:rPr>
        <w:t xml:space="preserve">Bedre </w:t>
      </w:r>
      <w:proofErr w:type="spellStart"/>
      <w:r w:rsidRPr="00E561E8">
        <w:rPr>
          <w:u w:val="single"/>
        </w:rPr>
        <w:t>Omsorgskvalitet</w:t>
      </w:r>
      <w:proofErr w:type="spellEnd"/>
      <w:r w:rsidR="00E561E8" w:rsidRPr="00E561E8">
        <w:t xml:space="preserve">. </w:t>
      </w:r>
      <w:r w:rsidRPr="00E561E8">
        <w:rPr>
          <w:lang w:val="nb-NO"/>
        </w:rPr>
        <w:t>Beskytter kjerneoppgavene i helsevesenet: Ved at rutineoppgaver håndteres gjennom tidsbanken, kan profesjonelle helsearbeidere fokusere på medisinske behov som krever deres ekspertise. Personlig omsorg: Borgere kjenner naboenes preferanser, rutiner og behov bedre enn roterende profesjonelt personale. Forebyggende tilnærming fanger opp problemer tidlig og reduserer dyre kriseintervensjoner.</w:t>
      </w:r>
    </w:p>
    <w:p w14:paraId="42BED027" w14:textId="77777777" w:rsidR="00440C8D" w:rsidRPr="00506BE7" w:rsidRDefault="00440C8D" w:rsidP="00440C8D">
      <w:pPr>
        <w:pStyle w:val="NoSpacing"/>
        <w:ind w:left="426"/>
        <w:rPr>
          <w:rFonts w:eastAsia="Times New Roman"/>
          <w:sz w:val="20"/>
          <w:lang w:val="nb-NO"/>
        </w:rPr>
      </w:pPr>
    </w:p>
    <w:p w14:paraId="00D92993" w14:textId="7205EEFD" w:rsidR="00440C8D" w:rsidRPr="00E561E8" w:rsidRDefault="00440C8D" w:rsidP="00440C8D">
      <w:pPr>
        <w:pStyle w:val="NoSpacing"/>
        <w:numPr>
          <w:ilvl w:val="0"/>
          <w:numId w:val="1"/>
        </w:numPr>
        <w:rPr>
          <w:lang w:val="nb-NO"/>
        </w:rPr>
      </w:pPr>
      <w:proofErr w:type="spellStart"/>
      <w:r w:rsidRPr="00E561E8">
        <w:rPr>
          <w:u w:val="single"/>
        </w:rPr>
        <w:t>Internasjonal</w:t>
      </w:r>
      <w:proofErr w:type="spellEnd"/>
      <w:r w:rsidRPr="00E561E8">
        <w:rPr>
          <w:u w:val="single"/>
        </w:rPr>
        <w:t xml:space="preserve"> </w:t>
      </w:r>
      <w:proofErr w:type="spellStart"/>
      <w:r w:rsidRPr="00E561E8">
        <w:rPr>
          <w:u w:val="single"/>
        </w:rPr>
        <w:t>Dokumentasjon</w:t>
      </w:r>
      <w:proofErr w:type="spellEnd"/>
      <w:r w:rsidRPr="00E561E8">
        <w:t xml:space="preserve">. </w:t>
      </w:r>
      <w:r w:rsidRPr="00E561E8">
        <w:rPr>
          <w:lang w:val="nb-NO"/>
        </w:rPr>
        <w:t xml:space="preserve">Tidsbanksystemer har i mange år vært implementert i Japan, Sør-Korea og Sveits.  </w:t>
      </w:r>
    </w:p>
    <w:p w14:paraId="261C9743" w14:textId="77777777" w:rsidR="00440C8D" w:rsidRPr="00506BE7" w:rsidRDefault="00440C8D" w:rsidP="00440C8D">
      <w:pPr>
        <w:pStyle w:val="NoSpacing"/>
        <w:ind w:left="426" w:firstLine="120"/>
        <w:rPr>
          <w:rFonts w:eastAsia="Times New Roman"/>
          <w:sz w:val="20"/>
          <w:lang w:val="nb-NO"/>
          <w14:ligatures w14:val="none"/>
        </w:rPr>
      </w:pPr>
    </w:p>
    <w:p w14:paraId="4A8857D3" w14:textId="2CA61383" w:rsidR="00440C8D" w:rsidRPr="00E561E8" w:rsidRDefault="00440C8D" w:rsidP="00440C8D">
      <w:pPr>
        <w:pStyle w:val="NoSpacing"/>
        <w:numPr>
          <w:ilvl w:val="0"/>
          <w:numId w:val="1"/>
        </w:numPr>
        <w:rPr>
          <w:lang w:val="nb-NO"/>
        </w:rPr>
      </w:pPr>
      <w:proofErr w:type="spellStart"/>
      <w:r w:rsidRPr="00E561E8">
        <w:rPr>
          <w:u w:val="single"/>
        </w:rPr>
        <w:t>Økonomiske</w:t>
      </w:r>
      <w:proofErr w:type="spellEnd"/>
      <w:r w:rsidRPr="00E561E8">
        <w:rPr>
          <w:u w:val="single"/>
        </w:rPr>
        <w:t xml:space="preserve"> Fordeler</w:t>
      </w:r>
      <w:r w:rsidR="00E561E8" w:rsidRPr="00E561E8">
        <w:t xml:space="preserve">. </w:t>
      </w:r>
      <w:r w:rsidRPr="00E561E8">
        <w:rPr>
          <w:lang w:val="nb-NO"/>
        </w:rPr>
        <w:t>Betydelige offentlige kostnadsbesparelser uten å redusere omsorgskvaliteten. Reduserer press på profesjonelle helsearbeidere. Bidrar til å sikre velferdssystemets økonomiske bærekraft.</w:t>
      </w:r>
    </w:p>
    <w:p w14:paraId="6B9E1B2B" w14:textId="77777777" w:rsidR="00440C8D" w:rsidRPr="00506BE7" w:rsidRDefault="00440C8D" w:rsidP="00440C8D">
      <w:pPr>
        <w:pStyle w:val="NoSpacing"/>
        <w:ind w:left="720"/>
        <w:rPr>
          <w:lang w:val="nb-NO"/>
        </w:rPr>
      </w:pPr>
    </w:p>
    <w:p w14:paraId="4348B4A4" w14:textId="2AE8C69B" w:rsidR="00440C8D" w:rsidRPr="00E561E8" w:rsidRDefault="00440C8D" w:rsidP="00440C8D">
      <w:pPr>
        <w:pStyle w:val="NoSpacing"/>
        <w:numPr>
          <w:ilvl w:val="0"/>
          <w:numId w:val="1"/>
        </w:numPr>
        <w:textAlignment w:val="baseline"/>
        <w:rPr>
          <w:lang w:val="nb-NO"/>
        </w:rPr>
      </w:pPr>
      <w:proofErr w:type="spellStart"/>
      <w:r w:rsidRPr="00E561E8">
        <w:rPr>
          <w:u w:val="single"/>
        </w:rPr>
        <w:t>Veien</w:t>
      </w:r>
      <w:proofErr w:type="spellEnd"/>
      <w:r w:rsidRPr="00E561E8">
        <w:rPr>
          <w:u w:val="single"/>
        </w:rPr>
        <w:t xml:space="preserve"> </w:t>
      </w:r>
      <w:proofErr w:type="spellStart"/>
      <w:r w:rsidRPr="00E561E8">
        <w:rPr>
          <w:u w:val="single"/>
        </w:rPr>
        <w:t>Videre</w:t>
      </w:r>
      <w:proofErr w:type="spellEnd"/>
      <w:r w:rsidR="00E561E8" w:rsidRPr="00E561E8">
        <w:t xml:space="preserve">. </w:t>
      </w:r>
      <w:r w:rsidRPr="00E561E8">
        <w:rPr>
          <w:rFonts w:eastAsia="Times New Roman"/>
          <w:lang w:val="nb-NO"/>
        </w:rPr>
        <w:t>Tidsbanken for eldreomsorg representerer en gjennomtenkt tilpassning av velferdsstaten til demografiske realiteter. En protot</w:t>
      </w:r>
      <w:r w:rsidRPr="00E561E8">
        <w:rPr>
          <w:lang w:val="nb-NO"/>
        </w:rPr>
        <w:t>otype app</w:t>
      </w:r>
      <w:r w:rsidR="00C05667">
        <w:rPr>
          <w:lang w:val="nb-NO"/>
        </w:rPr>
        <w:t>, illustrert nede</w:t>
      </w:r>
      <w:r w:rsidR="006A2E7B">
        <w:rPr>
          <w:lang w:val="nb-NO"/>
        </w:rPr>
        <w:t xml:space="preserve">nfor, </w:t>
      </w:r>
      <w:r w:rsidRPr="00E561E8">
        <w:rPr>
          <w:lang w:val="nb-NO"/>
        </w:rPr>
        <w:t>er nå gratis tilgjenglig på apple og android-plattformene samt på web (s</w:t>
      </w:r>
      <w:r>
        <w:t xml:space="preserve">e </w:t>
      </w:r>
      <w:hyperlink r:id="rId9" w:history="1">
        <w:r w:rsidRPr="003334D8">
          <w:rPr>
            <w:rStyle w:val="Hyperlink"/>
            <w:b/>
            <w:bCs/>
            <w:lang w:val="nb-NO"/>
          </w:rPr>
          <w:t>https://carebank.no/</w:t>
        </w:r>
      </w:hyperlink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omtaler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et </w:t>
      </w:r>
      <w:proofErr w:type="spellStart"/>
      <w:r>
        <w:t>skole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et </w:t>
      </w:r>
      <w:proofErr w:type="spellStart"/>
      <w:r>
        <w:t>eldrehjelp-verktøy</w:t>
      </w:r>
      <w:proofErr w:type="spellEnd"/>
      <w:r w:rsidRPr="00E561E8">
        <w:rPr>
          <w:lang w:val="nb-NO"/>
        </w:rPr>
        <w:t xml:space="preserve">). </w:t>
      </w:r>
      <w:r w:rsidR="00EA6130">
        <w:rPr>
          <w:lang w:val="nb-NO"/>
        </w:rPr>
        <w:t>I en eldrehjelp-sammenheng</w:t>
      </w:r>
      <w:r w:rsidR="00784BEF">
        <w:rPr>
          <w:lang w:val="nb-NO"/>
        </w:rPr>
        <w:t xml:space="preserve"> er ‘poeng</w:t>
      </w:r>
      <w:r w:rsidR="00E51CAD">
        <w:rPr>
          <w:lang w:val="nb-NO"/>
        </w:rPr>
        <w:t xml:space="preserve">’ </w:t>
      </w:r>
      <w:r w:rsidR="00AE5279">
        <w:rPr>
          <w:lang w:val="nb-NO"/>
        </w:rPr>
        <w:t>identisk med</w:t>
      </w:r>
      <w:r w:rsidR="00E51CAD">
        <w:rPr>
          <w:lang w:val="nb-NO"/>
        </w:rPr>
        <w:t xml:space="preserve"> ‘timer’</w:t>
      </w:r>
      <w:r w:rsidR="00B450E2">
        <w:rPr>
          <w:lang w:val="nb-NO"/>
        </w:rPr>
        <w:t>. I</w:t>
      </w:r>
      <w:r w:rsidR="00EE1966">
        <w:rPr>
          <w:lang w:val="nb-NO"/>
        </w:rPr>
        <w:t xml:space="preserve"> an</w:t>
      </w:r>
      <w:r w:rsidR="001D2BEF">
        <w:rPr>
          <w:lang w:val="nb-NO"/>
        </w:rPr>
        <w:t>dre sammenhe</w:t>
      </w:r>
      <w:r w:rsidR="00095615">
        <w:rPr>
          <w:lang w:val="nb-NO"/>
        </w:rPr>
        <w:t xml:space="preserve">nger </w:t>
      </w:r>
      <w:r w:rsidR="00F2457C">
        <w:rPr>
          <w:lang w:val="nb-NO"/>
        </w:rPr>
        <w:t>kan poeng beregnes annerledes.</w:t>
      </w:r>
      <w:r w:rsidR="005E6F7B">
        <w:rPr>
          <w:lang w:val="nb-NO"/>
        </w:rPr>
        <w:t xml:space="preserve"> </w:t>
      </w:r>
    </w:p>
    <w:p w14:paraId="5746D191" w14:textId="77777777" w:rsidR="00440C8D" w:rsidRPr="00BB27A3" w:rsidRDefault="00440C8D" w:rsidP="00440C8D">
      <w:pPr>
        <w:shd w:val="clear" w:color="auto" w:fill="FFFFFF"/>
        <w:spacing w:before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val="nb-NO" w:eastAsia="en-GB"/>
          <w14:ligatures w14:val="none"/>
        </w:rPr>
      </w:pPr>
    </w:p>
    <w:p w14:paraId="6846A929" w14:textId="0A3BBF9A" w:rsidR="00E16C84" w:rsidRDefault="00F822D9" w:rsidP="00F822D9">
      <w:pPr>
        <w:pStyle w:val="NoSpacing"/>
        <w:jc w:val="center"/>
      </w:pPr>
      <w:r>
        <w:rPr>
          <w:noProof/>
        </w:rPr>
        <w:drawing>
          <wp:inline distT="0" distB="0" distL="0" distR="0" wp14:anchorId="31323895" wp14:editId="3A3BAD71">
            <wp:extent cx="2157372" cy="3880737"/>
            <wp:effectExtent l="0" t="0" r="0" b="0"/>
            <wp:docPr id="155342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41" cy="3886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6C84" w:rsidSect="00613DCE">
      <w:headerReference w:type="default" r:id="rId11"/>
      <w:pgSz w:w="11907" w:h="16840" w:code="9"/>
      <w:pgMar w:top="964" w:right="1417" w:bottom="964" w:left="1417" w:header="51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B14A" w14:textId="77777777" w:rsidR="00DB4A0A" w:rsidRDefault="00DB4A0A" w:rsidP="00440C8D">
      <w:pPr>
        <w:spacing w:before="0" w:line="240" w:lineRule="auto"/>
      </w:pPr>
      <w:r>
        <w:separator/>
      </w:r>
    </w:p>
  </w:endnote>
  <w:endnote w:type="continuationSeparator" w:id="0">
    <w:p w14:paraId="76B998DD" w14:textId="77777777" w:rsidR="00DB4A0A" w:rsidRDefault="00DB4A0A" w:rsidP="00440C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7E63" w14:textId="77777777" w:rsidR="00DB4A0A" w:rsidRDefault="00DB4A0A" w:rsidP="00440C8D">
      <w:pPr>
        <w:spacing w:before="0" w:line="240" w:lineRule="auto"/>
      </w:pPr>
      <w:r>
        <w:separator/>
      </w:r>
    </w:p>
  </w:footnote>
  <w:footnote w:type="continuationSeparator" w:id="0">
    <w:p w14:paraId="4DEE8A99" w14:textId="77777777" w:rsidR="00DB4A0A" w:rsidRDefault="00DB4A0A" w:rsidP="00440C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F001" w14:textId="3F682428" w:rsidR="00440C8D" w:rsidRDefault="00440C8D">
    <w:pPr>
      <w:pStyle w:val="Header"/>
      <w:jc w:val="right"/>
    </w:pPr>
    <w:r>
      <w:t>Eldrehjelp_kort_rev_25</w:t>
    </w:r>
    <w:sdt>
      <w:sdtPr>
        <w:id w:val="-11387219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E6BF17F" w14:textId="77777777" w:rsidR="00440C8D" w:rsidRDefault="00440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44B"/>
    <w:multiLevelType w:val="hybridMultilevel"/>
    <w:tmpl w:val="7EC25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7444D7"/>
    <w:multiLevelType w:val="multilevel"/>
    <w:tmpl w:val="69F2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166F99"/>
    <w:multiLevelType w:val="multilevel"/>
    <w:tmpl w:val="FD40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499888">
    <w:abstractNumId w:val="2"/>
  </w:num>
  <w:num w:numId="2" w16cid:durableId="1372267302">
    <w:abstractNumId w:val="1"/>
  </w:num>
  <w:num w:numId="3" w16cid:durableId="144835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C8D"/>
    <w:rsid w:val="000003D0"/>
    <w:rsid w:val="00011E14"/>
    <w:rsid w:val="00051849"/>
    <w:rsid w:val="00095615"/>
    <w:rsid w:val="000F23A9"/>
    <w:rsid w:val="000F2DA7"/>
    <w:rsid w:val="001461BE"/>
    <w:rsid w:val="001A5CB2"/>
    <w:rsid w:val="001D2BEF"/>
    <w:rsid w:val="001E3928"/>
    <w:rsid w:val="001F27E7"/>
    <w:rsid w:val="0022635D"/>
    <w:rsid w:val="002D12E6"/>
    <w:rsid w:val="003334D8"/>
    <w:rsid w:val="00396D6D"/>
    <w:rsid w:val="003D1BC1"/>
    <w:rsid w:val="00440C8D"/>
    <w:rsid w:val="0044254C"/>
    <w:rsid w:val="00585346"/>
    <w:rsid w:val="005B3B92"/>
    <w:rsid w:val="005D5CBB"/>
    <w:rsid w:val="005E00C0"/>
    <w:rsid w:val="005E6F7B"/>
    <w:rsid w:val="00613DCE"/>
    <w:rsid w:val="00681491"/>
    <w:rsid w:val="00686C83"/>
    <w:rsid w:val="006A2E7B"/>
    <w:rsid w:val="006B0DB9"/>
    <w:rsid w:val="006E7F40"/>
    <w:rsid w:val="007665A7"/>
    <w:rsid w:val="00784BEF"/>
    <w:rsid w:val="007E5CA8"/>
    <w:rsid w:val="00820024"/>
    <w:rsid w:val="00923A15"/>
    <w:rsid w:val="0092604B"/>
    <w:rsid w:val="00933967"/>
    <w:rsid w:val="00A3474F"/>
    <w:rsid w:val="00A41CFF"/>
    <w:rsid w:val="00A5002C"/>
    <w:rsid w:val="00AC3B33"/>
    <w:rsid w:val="00AE5279"/>
    <w:rsid w:val="00B2768E"/>
    <w:rsid w:val="00B450E2"/>
    <w:rsid w:val="00B537D2"/>
    <w:rsid w:val="00B74F3A"/>
    <w:rsid w:val="00BE733F"/>
    <w:rsid w:val="00C05667"/>
    <w:rsid w:val="00C5760F"/>
    <w:rsid w:val="00D371CC"/>
    <w:rsid w:val="00D82A33"/>
    <w:rsid w:val="00DB4A0A"/>
    <w:rsid w:val="00DC2A74"/>
    <w:rsid w:val="00DC6AEC"/>
    <w:rsid w:val="00E16BDB"/>
    <w:rsid w:val="00E16C84"/>
    <w:rsid w:val="00E31375"/>
    <w:rsid w:val="00E34277"/>
    <w:rsid w:val="00E36377"/>
    <w:rsid w:val="00E51CAD"/>
    <w:rsid w:val="00E561E8"/>
    <w:rsid w:val="00E9483B"/>
    <w:rsid w:val="00EA6130"/>
    <w:rsid w:val="00EA731E"/>
    <w:rsid w:val="00EE1966"/>
    <w:rsid w:val="00EF16DF"/>
    <w:rsid w:val="00EF7710"/>
    <w:rsid w:val="00F01670"/>
    <w:rsid w:val="00F2457C"/>
    <w:rsid w:val="00F2645A"/>
    <w:rsid w:val="00F51D66"/>
    <w:rsid w:val="00F66C28"/>
    <w:rsid w:val="00F822D9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84A7"/>
  <w15:chartTrackingRefBased/>
  <w15:docId w15:val="{EF740FC9-96CF-49E4-8F78-8D94A877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346" w:line="302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8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8D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8D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849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kern w:val="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40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C8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C8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C8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C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C8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C8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8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40C8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C8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ivagder.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arebank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606</Words>
  <Characters>3702</Characters>
  <Application>Microsoft Office Word</Application>
  <DocSecurity>0</DocSecurity>
  <Lines>88</Lines>
  <Paragraphs>27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Selrod</dc:creator>
  <cp:keywords/>
  <dc:description/>
  <cp:lastModifiedBy>Helge Selrod</cp:lastModifiedBy>
  <cp:revision>32</cp:revision>
  <cp:lastPrinted>2025-10-05T07:44:00Z</cp:lastPrinted>
  <dcterms:created xsi:type="dcterms:W3CDTF">2025-10-05T06:31:00Z</dcterms:created>
  <dcterms:modified xsi:type="dcterms:W3CDTF">2025-11-12T08:45:00Z</dcterms:modified>
</cp:coreProperties>
</file>